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9" w:rsidRDefault="00C36FF9" w:rsidP="00C36FF9">
      <w:pPr>
        <w:jc w:val="center"/>
      </w:pPr>
      <w:r w:rsidRPr="00BA771B">
        <w:t>Научно Производственное Объединение по Внедрению Энерго - Сберегающих Технологий (НПО ВЭСТ)</w:t>
      </w:r>
    </w:p>
    <w:p w:rsidR="00BE4BD2" w:rsidRPr="000C5E15" w:rsidRDefault="00C36FF9" w:rsidP="00C36FF9">
      <w:pPr>
        <w:jc w:val="center"/>
      </w:pPr>
      <w:r w:rsidRPr="000C5E15">
        <w:t xml:space="preserve"> </w:t>
      </w:r>
    </w:p>
    <w:p w:rsidR="00C43927" w:rsidRPr="00BA771B" w:rsidRDefault="00BE4BD2" w:rsidP="00C43927">
      <w:pPr>
        <w:jc w:val="center"/>
      </w:pPr>
      <w:r w:rsidRPr="00BA771B">
        <w:t>СВЕДЕНИЯ О ПРОЕКТЕ</w:t>
      </w:r>
      <w:r w:rsidR="00C43927">
        <w:t xml:space="preserve">: </w:t>
      </w:r>
      <w:r w:rsidR="00C43927" w:rsidRPr="00C43927">
        <w:t xml:space="preserve"> </w:t>
      </w:r>
    </w:p>
    <w:p w:rsidR="00113CA3" w:rsidRPr="00BA771B" w:rsidRDefault="002C274D" w:rsidP="00BA771B">
      <w:r w:rsidRPr="00BA771B">
        <w:rPr>
          <w:b/>
        </w:rPr>
        <w:t>1.</w:t>
      </w:r>
      <w:r w:rsidRPr="00BA771B">
        <w:t xml:space="preserve"> </w:t>
      </w:r>
      <w:r w:rsidR="003C69EE" w:rsidRPr="00BA771B">
        <w:rPr>
          <w:b/>
        </w:rPr>
        <w:t>Наименование проекта:</w:t>
      </w:r>
      <w:r w:rsidR="003C69EE" w:rsidRPr="00BA771B">
        <w:t xml:space="preserve"> </w:t>
      </w:r>
      <w:r w:rsidRPr="00BA771B">
        <w:t xml:space="preserve"> </w:t>
      </w:r>
      <w:r w:rsidR="00132282" w:rsidRPr="00BA771B">
        <w:t xml:space="preserve">Энергоэффективные инженерные системы </w:t>
      </w:r>
      <w:r w:rsidR="00180974">
        <w:t xml:space="preserve">78 кв. </w:t>
      </w:r>
      <w:r w:rsidR="00132282" w:rsidRPr="00BA771B">
        <w:t>жилого</w:t>
      </w:r>
      <w:r w:rsidR="002E70E6" w:rsidRPr="00BA771B">
        <w:t xml:space="preserve"> </w:t>
      </w:r>
      <w:r w:rsidR="00132282" w:rsidRPr="00BA771B">
        <w:t>дома</w:t>
      </w:r>
      <w:r w:rsidR="002E70E6" w:rsidRPr="00BA771B">
        <w:t xml:space="preserve"> </w:t>
      </w:r>
      <w:r w:rsidR="00132282" w:rsidRPr="00BA771B">
        <w:t xml:space="preserve"> в условиях крайнего севера</w:t>
      </w:r>
      <w:r w:rsidR="00A82D24" w:rsidRPr="00A82D24">
        <w:t xml:space="preserve">. </w:t>
      </w:r>
      <w:r w:rsidR="00A82D24">
        <w:t xml:space="preserve">Республика САХА Якутия, ГО Жатай, ул. Комсомольская </w:t>
      </w:r>
      <w:r w:rsidR="00180974">
        <w:t>4</w:t>
      </w:r>
      <w:r w:rsidR="00A82D24">
        <w:t>/1</w:t>
      </w:r>
      <w:r w:rsidR="000C5E15">
        <w:t xml:space="preserve"> </w:t>
      </w:r>
    </w:p>
    <w:p w:rsidR="00180974" w:rsidRDefault="00180974" w:rsidP="00BA771B">
      <w:pPr>
        <w:rPr>
          <w:b/>
        </w:rPr>
      </w:pPr>
    </w:p>
    <w:p w:rsidR="00132282" w:rsidRPr="00BA771B" w:rsidRDefault="00132282" w:rsidP="00BA771B">
      <w:r w:rsidRPr="00BA771B">
        <w:rPr>
          <w:b/>
        </w:rPr>
        <w:t>2.</w:t>
      </w:r>
      <w:r w:rsidR="002C274D" w:rsidRPr="00BA771B">
        <w:rPr>
          <w:b/>
        </w:rPr>
        <w:t xml:space="preserve"> </w:t>
      </w:r>
      <w:r w:rsidR="003C69EE" w:rsidRPr="00BA771B">
        <w:rPr>
          <w:b/>
        </w:rPr>
        <w:t>Цели и задачи проекта:</w:t>
      </w:r>
      <w:r w:rsidR="003C69EE" w:rsidRPr="00BA771B">
        <w:t xml:space="preserve"> </w:t>
      </w:r>
    </w:p>
    <w:p w:rsidR="002E70E6" w:rsidRPr="00BA771B" w:rsidRDefault="002E70E6" w:rsidP="00BA771B">
      <w:r w:rsidRPr="00BA771B">
        <w:t>Цели</w:t>
      </w:r>
    </w:p>
    <w:p w:rsidR="00132282" w:rsidRPr="00BA771B" w:rsidRDefault="00132282" w:rsidP="00BA771B">
      <w:pPr>
        <w:numPr>
          <w:ilvl w:val="0"/>
          <w:numId w:val="13"/>
        </w:numPr>
        <w:tabs>
          <w:tab w:val="clear" w:pos="720"/>
          <w:tab w:val="num" w:pos="993"/>
        </w:tabs>
        <w:ind w:left="284" w:hanging="284"/>
      </w:pPr>
      <w:r w:rsidRPr="00BA771B">
        <w:rPr>
          <w:u w:val="single"/>
        </w:rPr>
        <w:t>Экономическая:</w:t>
      </w:r>
    </w:p>
    <w:p w:rsidR="002E70E6" w:rsidRPr="00BA771B" w:rsidRDefault="00132282" w:rsidP="00BA771B">
      <w:pPr>
        <w:ind w:left="284" w:hanging="284"/>
      </w:pPr>
      <w:r w:rsidRPr="00BA771B">
        <w:t xml:space="preserve">сокращение </w:t>
      </w:r>
    </w:p>
    <w:p w:rsidR="00132282" w:rsidRPr="00BA771B" w:rsidRDefault="002E70E6" w:rsidP="00BA771B">
      <w:pPr>
        <w:ind w:left="284" w:hanging="284"/>
      </w:pPr>
      <w:r w:rsidRPr="00BA771B">
        <w:t xml:space="preserve">- </w:t>
      </w:r>
      <w:r w:rsidR="00132282" w:rsidRPr="00BA771B">
        <w:t>нерационального расхода энергоресурсов;</w:t>
      </w:r>
    </w:p>
    <w:p w:rsidR="00132282" w:rsidRPr="00BA771B" w:rsidRDefault="00132282" w:rsidP="00BA771B">
      <w:pPr>
        <w:ind w:left="284" w:hanging="284"/>
      </w:pPr>
      <w:r w:rsidRPr="00BA771B">
        <w:t>- затрат на сбор информации;</w:t>
      </w:r>
    </w:p>
    <w:p w:rsidR="00132282" w:rsidRPr="00BA771B" w:rsidRDefault="00132282" w:rsidP="00BA771B">
      <w:pPr>
        <w:ind w:left="284" w:hanging="284"/>
      </w:pPr>
      <w:r w:rsidRPr="00BA771B">
        <w:t>- потерь тепловой и электрической энергии при возникновении аварий;</w:t>
      </w:r>
    </w:p>
    <w:p w:rsidR="00132282" w:rsidRPr="00BA771B" w:rsidRDefault="00132282" w:rsidP="00BA771B">
      <w:pPr>
        <w:numPr>
          <w:ilvl w:val="0"/>
          <w:numId w:val="13"/>
        </w:numPr>
        <w:tabs>
          <w:tab w:val="clear" w:pos="720"/>
          <w:tab w:val="num" w:pos="993"/>
        </w:tabs>
        <w:ind w:left="284" w:hanging="284"/>
      </w:pPr>
      <w:r w:rsidRPr="00BA771B">
        <w:rPr>
          <w:u w:val="single"/>
        </w:rPr>
        <w:t>Социальную:</w:t>
      </w:r>
    </w:p>
    <w:p w:rsidR="00132282" w:rsidRPr="00BA771B" w:rsidRDefault="00132282" w:rsidP="00BA771B">
      <w:pPr>
        <w:ind w:left="284" w:hanging="284"/>
      </w:pPr>
      <w:r w:rsidRPr="00BA771B">
        <w:t>- обеспечение безопасности;</w:t>
      </w:r>
    </w:p>
    <w:p w:rsidR="00132282" w:rsidRPr="00BA771B" w:rsidRDefault="00132282" w:rsidP="00BA771B">
      <w:pPr>
        <w:ind w:left="284" w:hanging="284"/>
      </w:pPr>
      <w:r w:rsidRPr="00BA771B">
        <w:t>- жизнеобеспечения здания;</w:t>
      </w:r>
    </w:p>
    <w:p w:rsidR="00132282" w:rsidRPr="00BA771B" w:rsidRDefault="00132282" w:rsidP="00BA771B">
      <w:pPr>
        <w:ind w:left="284" w:hanging="284"/>
      </w:pPr>
      <w:r w:rsidRPr="00BA771B">
        <w:t>- поддержание санитарно-гигиенических условий;</w:t>
      </w:r>
    </w:p>
    <w:p w:rsidR="00132282" w:rsidRPr="00BA771B" w:rsidRDefault="00132282" w:rsidP="00BA771B">
      <w:pPr>
        <w:ind w:left="284" w:hanging="284"/>
      </w:pPr>
      <w:r w:rsidRPr="00BA771B">
        <w:t>- обеспечение комфортных условий для проживания;</w:t>
      </w:r>
    </w:p>
    <w:p w:rsidR="00132282" w:rsidRPr="00BA771B" w:rsidRDefault="00132282" w:rsidP="00BA771B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ind w:left="284" w:hanging="284"/>
      </w:pPr>
      <w:r w:rsidRPr="00BA771B">
        <w:rPr>
          <w:u w:val="single"/>
        </w:rPr>
        <w:t>Перспективную:</w:t>
      </w:r>
    </w:p>
    <w:p w:rsidR="00132282" w:rsidRPr="00BA771B" w:rsidRDefault="00132282" w:rsidP="00BA771B">
      <w:pPr>
        <w:ind w:left="284" w:hanging="284"/>
      </w:pPr>
      <w:r w:rsidRPr="00BA771B">
        <w:t>- построение аналитическо-диспетчерского центра с возможностью определения и проведения мероприятий по дальнейшему сокращению энергозатрат.</w:t>
      </w:r>
    </w:p>
    <w:p w:rsidR="002E70E6" w:rsidRPr="00BA771B" w:rsidRDefault="002E70E6" w:rsidP="00BA771B"/>
    <w:p w:rsidR="00D74CEB" w:rsidRPr="00BA771B" w:rsidRDefault="002C3FF7" w:rsidP="00BA771B">
      <w:pPr>
        <w:rPr>
          <w:b/>
        </w:rPr>
      </w:pPr>
      <w:r w:rsidRPr="00BA771B">
        <w:rPr>
          <w:b/>
        </w:rPr>
        <w:t xml:space="preserve">3. </w:t>
      </w:r>
      <w:r w:rsidR="00D74CEB" w:rsidRPr="00BA771B">
        <w:rPr>
          <w:b/>
        </w:rPr>
        <w:t>Сроки реализации проекта</w:t>
      </w:r>
    </w:p>
    <w:p w:rsidR="00113CA3" w:rsidRPr="00BA771B" w:rsidRDefault="00113CA3" w:rsidP="00BA771B"/>
    <w:p w:rsidR="00D74CEB" w:rsidRPr="00BA771B" w:rsidRDefault="00D74CEB" w:rsidP="00BA771B">
      <w:r w:rsidRPr="00BA771B">
        <w:t>Проект реализуется на домах, строящихся в рамках единственного в Росс</w:t>
      </w:r>
      <w:r w:rsidR="009A0242">
        <w:t>и</w:t>
      </w:r>
      <w:r w:rsidRPr="00BA771B">
        <w:t>и энергоэффективного квартала в Республике САХА Якутия, ГО Жатай</w:t>
      </w:r>
    </w:p>
    <w:p w:rsidR="00113CA3" w:rsidRPr="00BA771B" w:rsidRDefault="00113CA3" w:rsidP="00BA771B"/>
    <w:p w:rsidR="000324F8" w:rsidRPr="00BA771B" w:rsidRDefault="00D74CEB" w:rsidP="000324F8">
      <w:r w:rsidRPr="00BA771B">
        <w:t>Пример сроков реализации</w:t>
      </w:r>
      <w:r w:rsidR="000324F8" w:rsidRPr="000324F8">
        <w:t xml:space="preserve"> </w:t>
      </w:r>
      <w:r w:rsidR="000324F8">
        <w:t xml:space="preserve">работ по </w:t>
      </w:r>
      <w:r w:rsidRPr="00BA771B">
        <w:t>одно</w:t>
      </w:r>
      <w:r w:rsidR="000324F8">
        <w:t xml:space="preserve">му </w:t>
      </w:r>
      <w:r w:rsidRPr="00BA771B">
        <w:t>из домов</w:t>
      </w:r>
      <w:r w:rsidR="000324F8">
        <w:t>,</w:t>
      </w:r>
      <w:r w:rsidRPr="00BA771B">
        <w:t xml:space="preserve"> </w:t>
      </w:r>
      <w:r w:rsidR="000324F8">
        <w:t xml:space="preserve">78 кв. </w:t>
      </w:r>
      <w:r w:rsidR="000324F8" w:rsidRPr="00BA771B">
        <w:t>жилого дома</w:t>
      </w:r>
      <w:r w:rsidR="000324F8">
        <w:t>,</w:t>
      </w:r>
      <w:r w:rsidR="000324F8" w:rsidRPr="00BA771B">
        <w:t xml:space="preserve"> </w:t>
      </w:r>
      <w:r w:rsidR="000324F8">
        <w:t xml:space="preserve">Республика САХА Якутия, ГО Жатай, ул. Комсомольская 4/1 </w:t>
      </w:r>
    </w:p>
    <w:p w:rsidR="00D74CEB" w:rsidRPr="00BA771B" w:rsidRDefault="00D74CEB" w:rsidP="00BA771B">
      <w:r w:rsidRPr="00BA771B">
        <w:t>Выполненные работы:</w:t>
      </w:r>
    </w:p>
    <w:p w:rsidR="00D74CEB" w:rsidRPr="00BA771B" w:rsidRDefault="00D74CEB" w:rsidP="00BA771B">
      <w:r w:rsidRPr="00BA771B">
        <w:t>- проектирование инженерных систем (отопление, вентиляция, горячее водоснабжение с использованием солнечных коллекторов, автономное электропитание солнечная электростанция)</w:t>
      </w:r>
    </w:p>
    <w:p w:rsidR="00D74CEB" w:rsidRPr="00BA771B" w:rsidRDefault="00D74CEB" w:rsidP="00BA771B">
      <w:r w:rsidRPr="00BA771B">
        <w:t>- монтаж</w:t>
      </w:r>
    </w:p>
    <w:p w:rsidR="00D74CEB" w:rsidRPr="00BA771B" w:rsidRDefault="00D74CEB" w:rsidP="00BA771B">
      <w:r w:rsidRPr="00BA771B">
        <w:t>- пусконаладка</w:t>
      </w:r>
    </w:p>
    <w:p w:rsidR="00D74CEB" w:rsidRPr="00BA771B" w:rsidRDefault="00D74CEB" w:rsidP="00BA771B">
      <w:r w:rsidRPr="00BA771B">
        <w:t xml:space="preserve">- сдача в эксплуатацию </w:t>
      </w:r>
    </w:p>
    <w:p w:rsidR="00113CA3" w:rsidRPr="00BA771B" w:rsidRDefault="00113CA3" w:rsidP="00BA771B"/>
    <w:p w:rsidR="00D74CEB" w:rsidRPr="00BA771B" w:rsidRDefault="00D74CEB" w:rsidP="00BA771B">
      <w:r w:rsidRPr="00BA771B">
        <w:t>н</w:t>
      </w:r>
      <w:r w:rsidR="003C69EE" w:rsidRPr="00BA771B">
        <w:t>ачало</w:t>
      </w:r>
      <w:r w:rsidRPr="00BA771B">
        <w:t>:</w:t>
      </w:r>
      <w:r w:rsidR="003C69EE" w:rsidRPr="00BA771B">
        <w:t xml:space="preserve"> </w:t>
      </w:r>
      <w:r w:rsidRPr="00BA771B">
        <w:t>январь 2014</w:t>
      </w:r>
    </w:p>
    <w:p w:rsidR="00D74CEB" w:rsidRPr="00BA771B" w:rsidRDefault="003C69EE" w:rsidP="00BA771B">
      <w:r w:rsidRPr="00BA771B">
        <w:t>завершение</w:t>
      </w:r>
      <w:r w:rsidR="00D74CEB" w:rsidRPr="00BA771B">
        <w:t>:</w:t>
      </w:r>
      <w:r w:rsidRPr="00BA771B">
        <w:t xml:space="preserve"> </w:t>
      </w:r>
      <w:r w:rsidR="00113CA3" w:rsidRPr="00BA771B">
        <w:t>сентябрь 2014</w:t>
      </w:r>
    </w:p>
    <w:p w:rsidR="00D74CEB" w:rsidRPr="00BA771B" w:rsidRDefault="003C69EE" w:rsidP="00BA771B">
      <w:r w:rsidRPr="00BA771B">
        <w:t xml:space="preserve">общая продолжительность реализации: </w:t>
      </w:r>
      <w:r w:rsidR="00113CA3" w:rsidRPr="00BA771B">
        <w:t>9 месяцев</w:t>
      </w:r>
    </w:p>
    <w:p w:rsidR="00113CA3" w:rsidRPr="00BA771B" w:rsidRDefault="00113CA3" w:rsidP="00BA771B"/>
    <w:p w:rsidR="007C4A29" w:rsidRDefault="007C4A29" w:rsidP="00BA771B">
      <w:pPr>
        <w:jc w:val="both"/>
        <w:rPr>
          <w:b/>
        </w:rPr>
      </w:pPr>
      <w:r w:rsidRPr="00BA771B">
        <w:rPr>
          <w:b/>
        </w:rPr>
        <w:t xml:space="preserve">4. </w:t>
      </w:r>
      <w:r w:rsidR="00113CA3" w:rsidRPr="00BA771B">
        <w:rPr>
          <w:b/>
        </w:rPr>
        <w:t xml:space="preserve">Этапы проекта </w:t>
      </w:r>
    </w:p>
    <w:p w:rsidR="00BA771B" w:rsidRPr="00BA771B" w:rsidRDefault="00BA771B" w:rsidP="00BA771B">
      <w:pPr>
        <w:jc w:val="both"/>
        <w:rPr>
          <w:b/>
        </w:rPr>
      </w:pPr>
    </w:p>
    <w:p w:rsidR="003D3E41" w:rsidRPr="00BA771B" w:rsidRDefault="007C4A29" w:rsidP="00BA771B">
      <w:pPr>
        <w:jc w:val="both"/>
      </w:pPr>
      <w:r w:rsidRPr="00BA771B">
        <w:t>- Составление технического задания.</w:t>
      </w:r>
    </w:p>
    <w:p w:rsidR="007C4A29" w:rsidRPr="00BA771B" w:rsidRDefault="007C4A29" w:rsidP="00BA771B">
      <w:pPr>
        <w:jc w:val="both"/>
      </w:pPr>
      <w:r w:rsidRPr="00BA771B">
        <w:t xml:space="preserve"> На данном этапе происходит </w:t>
      </w:r>
      <w:r w:rsidR="003D3E41" w:rsidRPr="00BA771B">
        <w:t>выбор,</w:t>
      </w:r>
      <w:r w:rsidRPr="00BA771B">
        <w:t xml:space="preserve"> </w:t>
      </w:r>
      <w:r w:rsidR="003D3E41" w:rsidRPr="00BA771B">
        <w:t xml:space="preserve">и обозначаются </w:t>
      </w:r>
      <w:r w:rsidRPr="00BA771B">
        <w:t>основные принципы работы инженерных систем</w:t>
      </w:r>
      <w:r w:rsidR="00BA771B" w:rsidRPr="00BA771B">
        <w:t>:</w:t>
      </w:r>
    </w:p>
    <w:p w:rsidR="00BA771B" w:rsidRPr="00BA771B" w:rsidRDefault="00BA771B" w:rsidP="00BA771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771B">
        <w:rPr>
          <w:rFonts w:ascii="Times New Roman" w:hAnsi="Times New Roman"/>
          <w:sz w:val="24"/>
          <w:szCs w:val="24"/>
        </w:rPr>
        <w:t>Предусмотреть устройство автоматизированных узлов управления теплопотреблением в системах отопления и вентиляции, энергоэффективное  и энергосберегающее оборудование с системой автоматического регулирования теплопотребления в зависимости от температуры наружного воздуха. Для систем вентиляции предусмотреть локальный автоматизированный узел управления с применением незамерзающего теплоносителя и пластинчатого теплообменника.</w:t>
      </w:r>
    </w:p>
    <w:p w:rsidR="00BA771B" w:rsidRPr="00BA771B" w:rsidRDefault="00BA771B" w:rsidP="00BA771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71B">
        <w:rPr>
          <w:rFonts w:ascii="Times New Roman" w:hAnsi="Times New Roman"/>
          <w:sz w:val="24"/>
          <w:szCs w:val="24"/>
        </w:rPr>
        <w:t>Предусмотреть установку энергоэффективных циркуляционных  насосов</w:t>
      </w:r>
    </w:p>
    <w:p w:rsidR="00BA771B" w:rsidRPr="00BA771B" w:rsidRDefault="00BA771B" w:rsidP="00BA771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71B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Обеспечить электропитание инженерного оборудования от фотоэлектрической станции на солнечных батареях (основной источник) и централизованной электрической сети или жидкотопливного электрогенератора (резервный источник)</w:t>
      </w:r>
    </w:p>
    <w:p w:rsidR="00BA771B" w:rsidRDefault="00BA771B" w:rsidP="00BA771B">
      <w:pPr>
        <w:jc w:val="both"/>
      </w:pPr>
    </w:p>
    <w:p w:rsidR="00BA771B" w:rsidRDefault="003D3E41" w:rsidP="00BA771B">
      <w:pPr>
        <w:jc w:val="both"/>
      </w:pPr>
      <w:r w:rsidRPr="00BA771B">
        <w:t xml:space="preserve">- </w:t>
      </w:r>
      <w:r w:rsidR="007C4A29" w:rsidRPr="00BA771B">
        <w:t>Разработка проектно-сметной документации</w:t>
      </w:r>
      <w:r w:rsidRPr="00BA771B">
        <w:t xml:space="preserve"> в соответствии с тех заданием</w:t>
      </w:r>
      <w:r w:rsidR="007C4A29" w:rsidRPr="00BA771B">
        <w:t xml:space="preserve"> </w:t>
      </w:r>
    </w:p>
    <w:p w:rsidR="005D1D83" w:rsidRPr="005D1D83" w:rsidRDefault="005D1D83" w:rsidP="005D1D83">
      <w:pPr>
        <w:pStyle w:val="a3"/>
        <w:numPr>
          <w:ilvl w:val="0"/>
          <w:numId w:val="15"/>
        </w:numPr>
        <w:autoSpaceDE w:val="0"/>
        <w:autoSpaceDN w:val="0"/>
        <w:spacing w:before="100" w:beforeAutospacing="1" w:after="100" w:afterAutospacing="1"/>
        <w:ind w:left="0" w:firstLine="0"/>
        <w:rPr>
          <w:color w:val="000000" w:themeColor="text1"/>
        </w:rPr>
      </w:pPr>
      <w:r w:rsidRPr="005D1D83">
        <w:rPr>
          <w:color w:val="000000" w:themeColor="text1"/>
        </w:rPr>
        <w:t>Проект выполнен на основании технического задания, архитектурно-строительных чертежей, а также согласно требованиям норм и правил СНиП 41-01-2003, СНиП 41-02-2003, СНиП 41-03-2003, СНиП 31-01-2003, СНиП II-35-76*.</w:t>
      </w:r>
    </w:p>
    <w:p w:rsidR="005D1D83" w:rsidRPr="005D1D8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   В проекте приняты следующие климатологические данные:</w:t>
      </w:r>
    </w:p>
    <w:p w:rsidR="005D1D83" w:rsidRPr="00A04F78" w:rsidRDefault="005D1D83" w:rsidP="005D1D83">
      <w:pPr>
        <w:pStyle w:val="a3"/>
        <w:numPr>
          <w:ilvl w:val="0"/>
          <w:numId w:val="15"/>
        </w:numPr>
        <w:autoSpaceDE w:val="0"/>
        <w:autoSpaceDN w:val="0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A04F78">
        <w:rPr>
          <w:rFonts w:ascii="Times New Roman" w:hAnsi="Times New Roman"/>
          <w:color w:val="000000" w:themeColor="text1"/>
          <w:sz w:val="24"/>
          <w:szCs w:val="24"/>
        </w:rPr>
        <w:t>расчетная температура наружного воздуха для проектирования системы отопления -54°С.</w:t>
      </w:r>
    </w:p>
    <w:p w:rsidR="005D1D83" w:rsidRPr="00A04F78" w:rsidRDefault="005D1D83" w:rsidP="005D1D83">
      <w:pPr>
        <w:pStyle w:val="a3"/>
        <w:numPr>
          <w:ilvl w:val="0"/>
          <w:numId w:val="15"/>
        </w:numPr>
        <w:autoSpaceDE w:val="0"/>
        <w:autoSpaceDN w:val="0"/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r w:rsidRPr="00A04F78">
        <w:rPr>
          <w:rFonts w:ascii="Times New Roman" w:hAnsi="Times New Roman"/>
          <w:color w:val="000000" w:themeColor="text1"/>
          <w:sz w:val="24"/>
          <w:szCs w:val="24"/>
        </w:rPr>
        <w:t>средняя температура самого холодного месяца -20,6°С.</w:t>
      </w:r>
    </w:p>
    <w:p w:rsidR="005D1D83" w:rsidRPr="00A04F78" w:rsidRDefault="005D1D83" w:rsidP="005D1D8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04F78">
        <w:rPr>
          <w:rFonts w:ascii="Times New Roman" w:hAnsi="Times New Roman"/>
          <w:color w:val="000000" w:themeColor="text1"/>
          <w:sz w:val="24"/>
          <w:szCs w:val="24"/>
        </w:rPr>
        <w:t>продолжительность отопительного периода 256 суток.</w:t>
      </w:r>
    </w:p>
    <w:p w:rsidR="00BA771B" w:rsidRPr="00A04F78" w:rsidRDefault="005D1D83" w:rsidP="00A04F78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Проектом предусматривается устройство системы водяного отопления здания, узла коммерческого учета тепловой энергии и теплоносителя, газовой водогрейной котельной, комбинированных установок подготовки горячей воды для системы ГВС.</w:t>
      </w:r>
    </w:p>
    <w:p w:rsidR="007C4A29" w:rsidRPr="00BA771B" w:rsidRDefault="003D3E41" w:rsidP="00BA771B">
      <w:r w:rsidRPr="00BA771B">
        <w:t xml:space="preserve">- </w:t>
      </w:r>
      <w:r w:rsidR="007C4A29" w:rsidRPr="00BA771B">
        <w:t>Согласование проектно-сметной документации</w:t>
      </w:r>
    </w:p>
    <w:p w:rsidR="00BA771B" w:rsidRDefault="00BA771B" w:rsidP="00BA771B">
      <w:pPr>
        <w:jc w:val="both"/>
      </w:pPr>
    </w:p>
    <w:p w:rsidR="007C4A29" w:rsidRPr="00BA771B" w:rsidRDefault="003D3E41" w:rsidP="00BA771B">
      <w:pPr>
        <w:jc w:val="both"/>
      </w:pPr>
      <w:r w:rsidRPr="00BA771B">
        <w:t xml:space="preserve">- </w:t>
      </w:r>
      <w:r w:rsidR="007C4A29" w:rsidRPr="00BA771B">
        <w:t>Монтажные работы</w:t>
      </w:r>
      <w:r w:rsidRPr="00BA771B">
        <w:t xml:space="preserve"> в соответствии с проектно-сметной документацией</w:t>
      </w:r>
    </w:p>
    <w:p w:rsidR="00BA771B" w:rsidRDefault="00BA771B" w:rsidP="00BA771B"/>
    <w:p w:rsidR="007C4A29" w:rsidRPr="00BA771B" w:rsidRDefault="003D3E41" w:rsidP="00BA771B">
      <w:r w:rsidRPr="00BA771B">
        <w:t xml:space="preserve">- </w:t>
      </w:r>
      <w:r w:rsidR="007C4A29" w:rsidRPr="00BA771B">
        <w:t>Пусконаладочные работы</w:t>
      </w:r>
    </w:p>
    <w:p w:rsidR="00BA771B" w:rsidRDefault="00BA771B" w:rsidP="00BA771B"/>
    <w:p w:rsidR="005D1D83" w:rsidRDefault="003D3E41" w:rsidP="005D1D83">
      <w:pPr>
        <w:rPr>
          <w:color w:val="000000" w:themeColor="text1"/>
        </w:rPr>
      </w:pPr>
      <w:r w:rsidRPr="00BA771B">
        <w:t xml:space="preserve">- </w:t>
      </w:r>
      <w:r w:rsidR="007C4A29" w:rsidRPr="00BA771B">
        <w:t xml:space="preserve">Сдача в эксплуатацию </w:t>
      </w:r>
      <w:r w:rsidR="005D1D83" w:rsidRPr="005D1D83">
        <w:rPr>
          <w:color w:val="000000" w:themeColor="text1"/>
        </w:rPr>
        <w:t xml:space="preserve"> </w:t>
      </w:r>
    </w:p>
    <w:p w:rsidR="00E45C03" w:rsidRDefault="00E45C03" w:rsidP="005D1D83">
      <w:pPr>
        <w:rPr>
          <w:b/>
          <w:color w:val="000000" w:themeColor="text1"/>
        </w:rPr>
      </w:pPr>
    </w:p>
    <w:p w:rsidR="00E45C03" w:rsidRPr="00E45C03" w:rsidRDefault="00E45C03" w:rsidP="005D1D83">
      <w:pPr>
        <w:rPr>
          <w:b/>
        </w:rPr>
      </w:pPr>
      <w:r w:rsidRPr="00E45C03">
        <w:rPr>
          <w:b/>
          <w:color w:val="000000" w:themeColor="text1"/>
        </w:rPr>
        <w:t>Теплоснабжение</w:t>
      </w:r>
    </w:p>
    <w:p w:rsidR="005D1D83" w:rsidRPr="005D1D8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   Теплоснабжение здания осуществляется от крышной газовой водогрейной котельной.</w:t>
      </w:r>
    </w:p>
    <w:p w:rsidR="00E45C0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Резервное теплоснабжение предусматривается от наружной тепловой сети по независимой схеме.</w:t>
      </w:r>
    </w:p>
    <w:p w:rsidR="00E45C0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Система отопления жилых и служебных помещений здания поквартирная двухтрубная горизонтальная периметральная радиаторная с попутным движением теплоносителя. Отопительные приборы-радиаторы алюминиевые</w:t>
      </w:r>
    </w:p>
    <w:p w:rsidR="005D1D83" w:rsidRPr="005D1D83" w:rsidRDefault="005D1D83" w:rsidP="00E45C0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Подключение системы отопления к котельной установке осуществляется через автоматизированный узел управления теплопотреблением здания.</w:t>
      </w:r>
    </w:p>
    <w:p w:rsidR="00E45C0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Предусмотрено подключение систем теплопотребления здания по независимой схеме с установкой пластинчатых теплообменников со 100%-м резервированием</w:t>
      </w:r>
    </w:p>
    <w:p w:rsidR="00E45C0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Регулирование температуры и расхода теплоносителя в системах отопления и вентиляции осуществляется трехходовыми смесительными клапанами в составе автоматизированной системы  управления теплопотреблением. Циркуляция теплоносителя в системе отопления осуществляется насосами с частотным регулированием.</w:t>
      </w:r>
    </w:p>
    <w:p w:rsidR="005D1D83" w:rsidRPr="005D1D8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Автоматизированная газовая котельная работает без постоянного присутствия обслуживающего персонала.</w:t>
      </w:r>
    </w:p>
    <w:p w:rsidR="005D1D83" w:rsidRPr="00E45C03" w:rsidRDefault="00E45C03" w:rsidP="00E45C03">
      <w:pPr>
        <w:autoSpaceDE w:val="0"/>
        <w:autoSpaceDN w:val="0"/>
        <w:spacing w:before="100" w:beforeAutospacing="1" w:after="100" w:afterAutospacing="1"/>
        <w:rPr>
          <w:b/>
          <w:color w:val="000000" w:themeColor="text1"/>
        </w:rPr>
      </w:pPr>
      <w:r w:rsidRPr="00E45C03">
        <w:rPr>
          <w:b/>
          <w:color w:val="000000" w:themeColor="text1"/>
        </w:rPr>
        <w:t>Установка гвс</w:t>
      </w:r>
    </w:p>
    <w:p w:rsidR="005D1D83" w:rsidRPr="005D1D8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lastRenderedPageBreak/>
        <w:t>Проектом предусматривается 3 комбинированных установки подготовки горячей воды для системы ГВС.</w:t>
      </w:r>
    </w:p>
    <w:p w:rsidR="005D1D83" w:rsidRPr="005D1D8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 xml:space="preserve">Источник теплоснабчения для системы ГВС-гелиоустановки с вакуумными трубчатыми солнечными коллекторами с применением двухконтурной схемы подготовки ГВС. </w:t>
      </w:r>
    </w:p>
    <w:p w:rsidR="00E45C0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Дополнительный источник-настенные водогрейные конденсационные котлы с цилиндрическими модулируемыми газовыми горелками, подключаемые к системе ГВС по независимой схеме через пластинчатые теплообменники.</w:t>
      </w:r>
    </w:p>
    <w:p w:rsidR="005D1D83" w:rsidRDefault="005D1D83" w:rsidP="005D1D83">
      <w:pPr>
        <w:autoSpaceDE w:val="0"/>
        <w:autoSpaceDN w:val="0"/>
        <w:spacing w:before="100" w:beforeAutospacing="1" w:after="100" w:afterAutospacing="1"/>
        <w:rPr>
          <w:color w:val="000000" w:themeColor="text1"/>
        </w:rPr>
      </w:pPr>
      <w:r w:rsidRPr="005D1D83">
        <w:rPr>
          <w:color w:val="000000" w:themeColor="text1"/>
        </w:rPr>
        <w:t>Автоматизированные установки ГВС работают без постоянного присутствия обслуживающего персонала.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E45C03">
        <w:rPr>
          <w:rFonts w:eastAsiaTheme="minorHAnsi"/>
          <w:b/>
          <w:color w:val="000000"/>
          <w:lang w:eastAsia="en-US"/>
        </w:rPr>
        <w:t>Автоматизация</w:t>
      </w:r>
    </w:p>
    <w:p w:rsidR="00E45C03" w:rsidRPr="00E45C03" w:rsidRDefault="00E45C03" w:rsidP="00E45C0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Диспетчеризацию (управление, мониторинг, архивирование, графическое отображение и анализ данных на автоматизированном рабочем месте диспетчера) вышеперечисленных узлов.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Интеграция в единую диспетчерскую сеть ГО Жатай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Автоматизация узлов реализуется с помощью щитов автоматизации производства компании ООО "НПО ВЭСТ", г. Томск.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Щиты изготавливаются в корпусе со степенью защиты IP-67, комплектуются низковольтной коммутационной и пусковой аппаратурой, а также программируемым логическим контроллером ВЭСТ-02.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Для подключения к локальной сети диспетчеризации щиты оборудованы интернет-коммуникаторами ВЭСТ-ICм.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Щиты устанавливаются в помещениях узлов управления. К щитам подключаются внешние датчики и силовое оборудование.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Контроллеры опроса ВЭСТ, при подключении к ним соответствующих внешних датчиков, обрабатывают и передают на верхний иерархический уровень данные об аварийных и нештатных ситуациях, а также режимах работы оборудования.</w:t>
      </w:r>
    </w:p>
    <w:p w:rsidR="00E45C03" w:rsidRDefault="00E45C0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Доступ к системе диспетчеризации осуществляется с персонального компьютера, установленного на АРМ диспетчера, посредством web-интерфейса через любой интернет-браузер.</w:t>
      </w:r>
    </w:p>
    <w:p w:rsidR="003D3E41" w:rsidRPr="00E45C03" w:rsidRDefault="005D1D83" w:rsidP="00E45C0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D1D83">
        <w:rPr>
          <w:color w:val="000000" w:themeColor="text1"/>
        </w:rPr>
        <w:t>   </w:t>
      </w:r>
      <w:r w:rsidR="00E45C03">
        <w:rPr>
          <w:color w:val="000000" w:themeColor="text1"/>
        </w:rPr>
        <w:t>                           </w:t>
      </w:r>
    </w:p>
    <w:p w:rsidR="00E45C03" w:rsidRDefault="003D3E41" w:rsidP="00BA771B">
      <w:pPr>
        <w:jc w:val="both"/>
      </w:pPr>
      <w:r w:rsidRPr="00BA771B">
        <w:rPr>
          <w:b/>
        </w:rPr>
        <w:t xml:space="preserve">5. </w:t>
      </w:r>
      <w:r w:rsidR="00113CA3" w:rsidRPr="00BA771B">
        <w:rPr>
          <w:b/>
        </w:rPr>
        <w:t xml:space="preserve">Бюджет проекта </w:t>
      </w:r>
      <w:r w:rsidR="000C5E15">
        <w:rPr>
          <w:b/>
        </w:rPr>
        <w:t xml:space="preserve"> </w:t>
      </w:r>
      <w:r w:rsidR="00527228">
        <w:t>33 000 000 Тридцать три миллиона рублей</w:t>
      </w:r>
      <w:r w:rsidR="00465822">
        <w:t xml:space="preserve"> </w:t>
      </w:r>
    </w:p>
    <w:p w:rsidR="00465822" w:rsidRPr="00465822" w:rsidRDefault="00465822" w:rsidP="00BA771B">
      <w:pPr>
        <w:jc w:val="both"/>
      </w:pPr>
      <w:r>
        <w:t>С</w:t>
      </w:r>
      <w:r w:rsidR="00113CA3" w:rsidRPr="00BA771B">
        <w:rPr>
          <w:b/>
        </w:rPr>
        <w:t>труктура финансирования</w:t>
      </w:r>
      <w:r>
        <w:rPr>
          <w:b/>
        </w:rPr>
        <w:t xml:space="preserve"> </w:t>
      </w:r>
      <w:r w:rsidR="00527228">
        <w:t>Д</w:t>
      </w:r>
      <w:r w:rsidRPr="00465822">
        <w:t>оговор с ген</w:t>
      </w:r>
      <w:r>
        <w:t>.</w:t>
      </w:r>
      <w:r w:rsidRPr="00465822">
        <w:t xml:space="preserve"> подрядчиком</w:t>
      </w:r>
    </w:p>
    <w:p w:rsidR="00465822" w:rsidRPr="00BA771B" w:rsidRDefault="00465822" w:rsidP="00BA771B">
      <w:pPr>
        <w:jc w:val="both"/>
        <w:rPr>
          <w:b/>
        </w:rPr>
      </w:pPr>
    </w:p>
    <w:p w:rsidR="00527228" w:rsidRDefault="003D3E41" w:rsidP="00527228">
      <w:r w:rsidRPr="00BA771B">
        <w:rPr>
          <w:b/>
        </w:rPr>
        <w:t xml:space="preserve">6. </w:t>
      </w:r>
      <w:r w:rsidR="00113CA3" w:rsidRPr="00BA771B">
        <w:rPr>
          <w:b/>
        </w:rPr>
        <w:t>Расчетный период окупаемости проекта</w:t>
      </w:r>
      <w:r w:rsidR="00527228">
        <w:rPr>
          <w:b/>
        </w:rPr>
        <w:t xml:space="preserve"> </w:t>
      </w:r>
      <w:r w:rsidR="00BA771B" w:rsidRPr="00BA771B">
        <w:t xml:space="preserve"> </w:t>
      </w:r>
    </w:p>
    <w:p w:rsidR="00527228" w:rsidRPr="00527228" w:rsidRDefault="000C5E15" w:rsidP="00527228">
      <w:pPr>
        <w:rPr>
          <w:color w:val="000000" w:themeColor="text1"/>
        </w:rPr>
      </w:pPr>
      <w:r w:rsidRPr="00527228">
        <w:rPr>
          <w:color w:val="000000" w:themeColor="text1"/>
        </w:rPr>
        <w:t xml:space="preserve">для </w:t>
      </w:r>
      <w:r w:rsidR="00527228" w:rsidRPr="00527228">
        <w:rPr>
          <w:color w:val="000000" w:themeColor="text1"/>
        </w:rPr>
        <w:t xml:space="preserve">78 кв. жилого дома, Республика САХА Якутия, ГО Жатай, ул. Комсомольская 4/1 </w:t>
      </w:r>
    </w:p>
    <w:p w:rsidR="00BA771B" w:rsidRPr="00527228" w:rsidRDefault="000C5E15" w:rsidP="00BA771B">
      <w:pPr>
        <w:rPr>
          <w:color w:val="000000" w:themeColor="text1"/>
        </w:rPr>
      </w:pPr>
      <w:r w:rsidRPr="00527228">
        <w:rPr>
          <w:color w:val="000000" w:themeColor="text1"/>
        </w:rPr>
        <w:t>примерно со</w:t>
      </w:r>
      <w:r w:rsidR="00E669A6">
        <w:rPr>
          <w:color w:val="000000" w:themeColor="text1"/>
        </w:rPr>
        <w:t>с</w:t>
      </w:r>
      <w:r w:rsidRPr="00527228">
        <w:rPr>
          <w:color w:val="000000" w:themeColor="text1"/>
        </w:rPr>
        <w:t>тавит:</w:t>
      </w:r>
      <w:r w:rsidR="00527228" w:rsidRPr="00527228">
        <w:rPr>
          <w:color w:val="000000" w:themeColor="text1"/>
        </w:rPr>
        <w:t xml:space="preserve"> о</w:t>
      </w:r>
      <w:r w:rsidR="00BA771B" w:rsidRPr="00527228">
        <w:rPr>
          <w:color w:val="000000" w:themeColor="text1"/>
        </w:rPr>
        <w:t xml:space="preserve">т </w:t>
      </w:r>
      <w:r w:rsidR="00527228" w:rsidRPr="00527228">
        <w:rPr>
          <w:color w:val="000000" w:themeColor="text1"/>
        </w:rPr>
        <w:t>2</w:t>
      </w:r>
      <w:r w:rsidR="00BA771B" w:rsidRPr="00527228">
        <w:rPr>
          <w:color w:val="000000" w:themeColor="text1"/>
        </w:rPr>
        <w:t>-</w:t>
      </w:r>
      <w:r w:rsidR="00527228" w:rsidRPr="00527228">
        <w:rPr>
          <w:color w:val="000000" w:themeColor="text1"/>
        </w:rPr>
        <w:t>х</w:t>
      </w:r>
      <w:r w:rsidR="00BA771B" w:rsidRPr="00527228">
        <w:rPr>
          <w:color w:val="000000" w:themeColor="text1"/>
        </w:rPr>
        <w:t xml:space="preserve"> до </w:t>
      </w:r>
      <w:r w:rsidR="002A7983">
        <w:rPr>
          <w:color w:val="000000" w:themeColor="text1"/>
        </w:rPr>
        <w:t>6</w:t>
      </w:r>
      <w:r w:rsidR="00BA771B" w:rsidRPr="00527228">
        <w:rPr>
          <w:color w:val="000000" w:themeColor="text1"/>
        </w:rPr>
        <w:t>-х лет.</w:t>
      </w:r>
    </w:p>
    <w:p w:rsidR="00113CA3" w:rsidRPr="00BA771B" w:rsidRDefault="00113CA3" w:rsidP="00BA771B">
      <w:pPr>
        <w:jc w:val="both"/>
        <w:rPr>
          <w:b/>
        </w:rPr>
      </w:pPr>
    </w:p>
    <w:p w:rsidR="00A04F78" w:rsidRPr="00A04F78" w:rsidRDefault="003D3E41" w:rsidP="00A04F78">
      <w:pPr>
        <w:jc w:val="both"/>
        <w:rPr>
          <w:b/>
        </w:rPr>
      </w:pPr>
      <w:r w:rsidRPr="00BA771B">
        <w:rPr>
          <w:b/>
        </w:rPr>
        <w:t>7. Результаты проекта</w:t>
      </w:r>
    </w:p>
    <w:p w:rsidR="002A7983" w:rsidRPr="00E1513D" w:rsidRDefault="002A7983" w:rsidP="002A7983">
      <w:r w:rsidRPr="00E1513D">
        <w:t>Основные технико-экономические показатели 78-ми кв. жилого дома</w:t>
      </w:r>
    </w:p>
    <w:tbl>
      <w:tblPr>
        <w:tblStyle w:val="a9"/>
        <w:tblW w:w="0" w:type="auto"/>
        <w:tblLook w:val="04A0"/>
      </w:tblPr>
      <w:tblGrid>
        <w:gridCol w:w="5240"/>
        <w:gridCol w:w="1418"/>
        <w:gridCol w:w="1984"/>
      </w:tblGrid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pPr>
              <w:jc w:val="center"/>
            </w:pPr>
            <w:r w:rsidRPr="00E1513D">
              <w:t>Показатель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 w:rsidRPr="00E1513D">
              <w:t>Ед. изм.</w:t>
            </w:r>
          </w:p>
        </w:tc>
        <w:tc>
          <w:tcPr>
            <w:tcW w:w="1984" w:type="dxa"/>
            <w:vAlign w:val="center"/>
          </w:tcPr>
          <w:p w:rsidR="002A7983" w:rsidRPr="00E1513D" w:rsidRDefault="002A7983" w:rsidP="002515A5">
            <w:pPr>
              <w:jc w:val="center"/>
            </w:pPr>
            <w:r w:rsidRPr="00E1513D">
              <w:t>По проекту: здания квартир</w:t>
            </w:r>
          </w:p>
        </w:tc>
      </w:tr>
      <w:tr w:rsidR="002A7983" w:rsidRPr="00E1513D" w:rsidTr="002515A5">
        <w:trPr>
          <w:trHeight w:val="516"/>
        </w:trPr>
        <w:tc>
          <w:tcPr>
            <w:tcW w:w="5240" w:type="dxa"/>
            <w:vAlign w:val="center"/>
          </w:tcPr>
          <w:p w:rsidR="002A7983" w:rsidRPr="00E1513D" w:rsidRDefault="002A7983" w:rsidP="002515A5">
            <w:pPr>
              <w:rPr>
                <w:lang w:val="en-US"/>
              </w:rPr>
            </w:pPr>
            <w:r w:rsidRPr="00E1513D">
              <w:t>Общая площадь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 w:rsidRPr="00E1513D">
              <w:t>м</w:t>
            </w:r>
            <w:r w:rsidRPr="00E1513D">
              <w:rPr>
                <w:lang w:val="en-US"/>
              </w:rPr>
              <w:t>²</w:t>
            </w:r>
          </w:p>
        </w:tc>
        <w:tc>
          <w:tcPr>
            <w:tcW w:w="1984" w:type="dxa"/>
            <w:vAlign w:val="center"/>
          </w:tcPr>
          <w:p w:rsidR="002A7983" w:rsidRPr="00E1513D" w:rsidRDefault="002A7983" w:rsidP="002515A5">
            <w:pPr>
              <w:jc w:val="center"/>
              <w:rPr>
                <w:lang w:val="en-US"/>
              </w:rPr>
            </w:pPr>
            <w:r w:rsidRPr="00E1513D">
              <w:rPr>
                <w:lang w:val="en-US"/>
              </w:rPr>
              <w:t>4526,01</w:t>
            </w:r>
          </w:p>
        </w:tc>
      </w:tr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r w:rsidRPr="00E1513D">
              <w:t xml:space="preserve">Сметная стоимость, всего 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 w:rsidRPr="00E1513D">
              <w:t xml:space="preserve">млн. </w:t>
            </w:r>
            <w:r>
              <w:t>р</w:t>
            </w:r>
            <w:r w:rsidRPr="00E1513D">
              <w:t>уб.</w:t>
            </w:r>
          </w:p>
        </w:tc>
        <w:tc>
          <w:tcPr>
            <w:tcW w:w="1984" w:type="dxa"/>
            <w:vAlign w:val="center"/>
          </w:tcPr>
          <w:p w:rsidR="002A7983" w:rsidRPr="00E1513D" w:rsidRDefault="002A7983" w:rsidP="002515A5">
            <w:pPr>
              <w:jc w:val="center"/>
            </w:pPr>
            <w:r>
              <w:t>97,64</w:t>
            </w:r>
          </w:p>
        </w:tc>
      </w:tr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r>
              <w:t>Стоимость без затрат на энергоэффективность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 w:rsidRPr="00E1513D">
              <w:t xml:space="preserve">млн. </w:t>
            </w:r>
            <w:r>
              <w:t>р</w:t>
            </w:r>
            <w:r w:rsidRPr="00E1513D">
              <w:t>уб.</w:t>
            </w:r>
          </w:p>
        </w:tc>
        <w:tc>
          <w:tcPr>
            <w:tcW w:w="1984" w:type="dxa"/>
            <w:vAlign w:val="center"/>
          </w:tcPr>
          <w:p w:rsidR="002A7983" w:rsidRDefault="002A7983" w:rsidP="002515A5">
            <w:pPr>
              <w:jc w:val="center"/>
            </w:pPr>
            <w:r>
              <w:t>82,3</w:t>
            </w:r>
          </w:p>
        </w:tc>
      </w:tr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r w:rsidRPr="00E1513D">
              <w:t>Стоимость 1 м²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>
              <w:t>тыс</w:t>
            </w:r>
            <w:r w:rsidRPr="00E1513D">
              <w:t xml:space="preserve">. </w:t>
            </w:r>
            <w:r>
              <w:t>р</w:t>
            </w:r>
            <w:r w:rsidRPr="00E1513D">
              <w:t>уб.</w:t>
            </w:r>
          </w:p>
        </w:tc>
        <w:tc>
          <w:tcPr>
            <w:tcW w:w="1984" w:type="dxa"/>
            <w:vAlign w:val="center"/>
          </w:tcPr>
          <w:p w:rsidR="002A7983" w:rsidRDefault="002A7983" w:rsidP="002515A5">
            <w:pPr>
              <w:jc w:val="center"/>
            </w:pPr>
            <w:r>
              <w:t>57</w:t>
            </w:r>
          </w:p>
        </w:tc>
      </w:tr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r>
              <w:t>То же</w:t>
            </w:r>
            <w:r w:rsidRPr="00E1513D">
              <w:t xml:space="preserve"> без затра</w:t>
            </w:r>
            <w:r>
              <w:t>т на энергоэффективность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>
              <w:t>тыс</w:t>
            </w:r>
            <w:r w:rsidRPr="00E1513D">
              <w:t xml:space="preserve">. </w:t>
            </w:r>
            <w:r>
              <w:t>р</w:t>
            </w:r>
            <w:r w:rsidRPr="00E1513D">
              <w:t>уб.</w:t>
            </w:r>
          </w:p>
        </w:tc>
        <w:tc>
          <w:tcPr>
            <w:tcW w:w="1984" w:type="dxa"/>
            <w:vAlign w:val="center"/>
          </w:tcPr>
          <w:p w:rsidR="002A7983" w:rsidRDefault="002A7983" w:rsidP="002515A5">
            <w:pPr>
              <w:jc w:val="center"/>
            </w:pPr>
            <w:r>
              <w:t>45</w:t>
            </w:r>
          </w:p>
        </w:tc>
      </w:tr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r>
              <w:t>Срок окупаемости без дополнительных затрат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>
              <w:t>лет</w:t>
            </w:r>
          </w:p>
        </w:tc>
        <w:tc>
          <w:tcPr>
            <w:tcW w:w="1984" w:type="dxa"/>
            <w:vAlign w:val="center"/>
          </w:tcPr>
          <w:p w:rsidR="002A7983" w:rsidRDefault="002A7983" w:rsidP="002515A5">
            <w:pPr>
              <w:jc w:val="center"/>
            </w:pPr>
            <w:r>
              <w:t>10</w:t>
            </w:r>
          </w:p>
        </w:tc>
      </w:tr>
      <w:tr w:rsidR="002A7983" w:rsidRPr="00E1513D" w:rsidTr="002515A5">
        <w:tc>
          <w:tcPr>
            <w:tcW w:w="5240" w:type="dxa"/>
            <w:vAlign w:val="center"/>
          </w:tcPr>
          <w:p w:rsidR="002A7983" w:rsidRPr="00E1513D" w:rsidRDefault="002A7983" w:rsidP="002515A5">
            <w:r>
              <w:t>Увеличение стоимости на доп. затраты</w:t>
            </w:r>
          </w:p>
        </w:tc>
        <w:tc>
          <w:tcPr>
            <w:tcW w:w="1418" w:type="dxa"/>
            <w:vAlign w:val="center"/>
          </w:tcPr>
          <w:p w:rsidR="002A7983" w:rsidRPr="00E1513D" w:rsidRDefault="002A7983" w:rsidP="002515A5">
            <w:pPr>
              <w:jc w:val="center"/>
            </w:pPr>
            <w:r>
              <w:t>%</w:t>
            </w:r>
          </w:p>
        </w:tc>
        <w:tc>
          <w:tcPr>
            <w:tcW w:w="1984" w:type="dxa"/>
            <w:vAlign w:val="center"/>
          </w:tcPr>
          <w:p w:rsidR="002A7983" w:rsidRDefault="002A7983" w:rsidP="002515A5">
            <w:pPr>
              <w:jc w:val="center"/>
            </w:pPr>
            <w:r>
              <w:t>25</w:t>
            </w:r>
          </w:p>
        </w:tc>
      </w:tr>
    </w:tbl>
    <w:p w:rsidR="002A7983" w:rsidRDefault="002A7983" w:rsidP="002A7983"/>
    <w:p w:rsidR="002A7983" w:rsidRDefault="002A7983" w:rsidP="002A7983">
      <w:r>
        <w:t>Теплоэнергетические показатели</w:t>
      </w:r>
    </w:p>
    <w:tbl>
      <w:tblPr>
        <w:tblStyle w:val="a9"/>
        <w:tblW w:w="8927" w:type="dxa"/>
        <w:tblLayout w:type="fixed"/>
        <w:tblLook w:val="04A0"/>
      </w:tblPr>
      <w:tblGrid>
        <w:gridCol w:w="1130"/>
        <w:gridCol w:w="3544"/>
        <w:gridCol w:w="851"/>
        <w:gridCol w:w="1559"/>
        <w:gridCol w:w="1843"/>
      </w:tblGrid>
      <w:tr w:rsidR="00A04F78" w:rsidRPr="00E1513D" w:rsidTr="00A04F78">
        <w:tc>
          <w:tcPr>
            <w:tcW w:w="4674" w:type="dxa"/>
            <w:gridSpan w:val="2"/>
            <w:tcBorders>
              <w:bottom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center"/>
            </w:pPr>
            <w:r w:rsidRPr="00E1513D">
              <w:t>Показатель</w:t>
            </w:r>
          </w:p>
        </w:tc>
        <w:tc>
          <w:tcPr>
            <w:tcW w:w="851" w:type="dxa"/>
            <w:vAlign w:val="center"/>
          </w:tcPr>
          <w:p w:rsidR="00A04F78" w:rsidRPr="00E1513D" w:rsidRDefault="00A04F78" w:rsidP="002515A5">
            <w:pPr>
              <w:jc w:val="center"/>
            </w:pPr>
            <w:r w:rsidRPr="00E1513D">
              <w:t xml:space="preserve">Ед. </w:t>
            </w:r>
            <w:r w:rsidRPr="00E1513D">
              <w:lastRenderedPageBreak/>
              <w:t>изм.</w:t>
            </w:r>
          </w:p>
        </w:tc>
        <w:tc>
          <w:tcPr>
            <w:tcW w:w="1559" w:type="dxa"/>
            <w:vAlign w:val="center"/>
          </w:tcPr>
          <w:p w:rsidR="00A04F78" w:rsidRPr="00E1513D" w:rsidRDefault="00A04F78" w:rsidP="002515A5">
            <w:pPr>
              <w:jc w:val="center"/>
            </w:pPr>
            <w:r>
              <w:lastRenderedPageBreak/>
              <w:t>Энерго-</w:t>
            </w:r>
            <w:r>
              <w:lastRenderedPageBreak/>
              <w:t>эффективный дом</w:t>
            </w:r>
            <w:r w:rsidR="006B2A81">
              <w:t xml:space="preserve"> НПО ВЭСТ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lastRenderedPageBreak/>
              <w:t xml:space="preserve">Новые здания, </w:t>
            </w:r>
            <w:r>
              <w:lastRenderedPageBreak/>
              <w:t>строящиеся по действующим нормам</w:t>
            </w:r>
          </w:p>
        </w:tc>
      </w:tr>
      <w:tr w:rsidR="00A04F78" w:rsidRPr="00E1513D" w:rsidTr="00A04F78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F78" w:rsidRPr="00E1513D" w:rsidRDefault="00A04F78" w:rsidP="002515A5">
            <w:r>
              <w:lastRenderedPageBreak/>
              <w:t>Теплопотери здания за отопительный период: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4F78" w:rsidRPr="00E1513D" w:rsidRDefault="00A04F78" w:rsidP="002515A5">
            <w:pPr>
              <w:jc w:val="center"/>
            </w:pPr>
            <w:r>
              <w:t>681,48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840,6</w:t>
            </w:r>
          </w:p>
        </w:tc>
      </w:tr>
      <w:tr w:rsidR="00A04F78" w:rsidRPr="00E1513D" w:rsidTr="00A04F78"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F78" w:rsidRPr="00E1513D" w:rsidRDefault="00A04F78" w:rsidP="002515A5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F78" w:rsidRPr="00E1513D" w:rsidRDefault="00A04F78" w:rsidP="002515A5">
            <w:pPr>
              <w:jc w:val="both"/>
            </w:pPr>
            <w:r>
              <w:t>через ограждающие конструкции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4F78" w:rsidRDefault="00A04F78" w:rsidP="002515A5">
            <w:pPr>
              <w:jc w:val="center"/>
            </w:pPr>
            <w:r>
              <w:t>356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419,3</w:t>
            </w:r>
          </w:p>
        </w:tc>
      </w:tr>
      <w:tr w:rsidR="00A04F78" w:rsidRPr="00E1513D" w:rsidTr="00A04F78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F78" w:rsidRPr="00E1513D" w:rsidRDefault="00A04F78" w:rsidP="002515A5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F78" w:rsidRPr="00E1513D" w:rsidRDefault="00A04F78" w:rsidP="002515A5">
            <w:pPr>
              <w:jc w:val="both"/>
            </w:pPr>
            <w:r>
              <w:t>через вентиляцию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4F78" w:rsidRDefault="00A04F78" w:rsidP="002515A5">
            <w:pPr>
              <w:jc w:val="center"/>
            </w:pPr>
            <w:r>
              <w:t>325,48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421,3</w:t>
            </w:r>
          </w:p>
        </w:tc>
      </w:tr>
      <w:tr w:rsidR="00A04F78" w:rsidRPr="00E1513D" w:rsidTr="00A04F78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both"/>
            </w:pPr>
            <w:r>
              <w:t>Расход тепла на ГВС: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04F78" w:rsidRDefault="00A04F78" w:rsidP="002515A5">
            <w:pPr>
              <w:jc w:val="center"/>
            </w:pPr>
            <w:r>
              <w:t>Гкал</w:t>
            </w:r>
          </w:p>
          <w:p w:rsidR="00A04F78" w:rsidRPr="00E1513D" w:rsidRDefault="00A04F78" w:rsidP="002515A5">
            <w:pPr>
              <w:jc w:val="center"/>
            </w:pPr>
            <w:r>
              <w:t>/год</w:t>
            </w:r>
          </w:p>
        </w:tc>
        <w:tc>
          <w:tcPr>
            <w:tcW w:w="1559" w:type="dxa"/>
            <w:vAlign w:val="center"/>
          </w:tcPr>
          <w:p w:rsidR="00A04F78" w:rsidRDefault="00A04F78" w:rsidP="002515A5">
            <w:pPr>
              <w:jc w:val="center"/>
            </w:pPr>
            <w:r>
              <w:t>577,92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577,92</w:t>
            </w:r>
          </w:p>
        </w:tc>
      </w:tr>
      <w:tr w:rsidR="00A04F78" w:rsidRPr="00E1513D" w:rsidTr="00A04F78"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4F78" w:rsidRPr="00E1513D" w:rsidRDefault="00A04F78" w:rsidP="002515A5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F78" w:rsidRPr="00E1513D" w:rsidRDefault="00A04F78" w:rsidP="002515A5">
            <w:pPr>
              <w:jc w:val="both"/>
            </w:pPr>
            <w:r>
              <w:t>из невозобновляемых источников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4F78" w:rsidRDefault="00A04F78" w:rsidP="002515A5">
            <w:pPr>
              <w:jc w:val="center"/>
            </w:pPr>
            <w:r>
              <w:t>514,92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577,92</w:t>
            </w:r>
          </w:p>
        </w:tc>
      </w:tr>
      <w:tr w:rsidR="00A04F78" w:rsidRPr="00E1513D" w:rsidTr="00A04F78"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4F78" w:rsidRPr="00E1513D" w:rsidRDefault="00A04F78" w:rsidP="002515A5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F78" w:rsidRPr="00E1513D" w:rsidRDefault="00A04F78" w:rsidP="002515A5">
            <w:pPr>
              <w:jc w:val="both"/>
            </w:pPr>
            <w:r>
              <w:t>из возобновляемых источников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A04F78" w:rsidRPr="00E1513D" w:rsidRDefault="00A04F78" w:rsidP="002515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A04F78" w:rsidRDefault="00A04F78" w:rsidP="002515A5">
            <w:pPr>
              <w:jc w:val="center"/>
            </w:pPr>
            <w:r>
              <w:t>63</w:t>
            </w: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–</w:t>
            </w:r>
          </w:p>
        </w:tc>
      </w:tr>
      <w:tr w:rsidR="00A04F78" w:rsidRPr="00E1513D" w:rsidTr="00A04F78">
        <w:tc>
          <w:tcPr>
            <w:tcW w:w="4674" w:type="dxa"/>
            <w:gridSpan w:val="2"/>
            <w:tcBorders>
              <w:top w:val="single" w:sz="4" w:space="0" w:color="auto"/>
            </w:tcBorders>
            <w:vAlign w:val="center"/>
          </w:tcPr>
          <w:p w:rsidR="00A04F78" w:rsidRDefault="00A04F78" w:rsidP="002515A5">
            <w:pPr>
              <w:jc w:val="both"/>
            </w:pPr>
            <w:r>
              <w:t>Потребление электрической энергии</w:t>
            </w:r>
          </w:p>
          <w:p w:rsidR="00A04F78" w:rsidRDefault="00A04F78" w:rsidP="002515A5">
            <w:pPr>
              <w:jc w:val="both"/>
            </w:pPr>
            <w:r>
              <w:t>(места общего пользования)</w:t>
            </w:r>
          </w:p>
        </w:tc>
        <w:tc>
          <w:tcPr>
            <w:tcW w:w="851" w:type="dxa"/>
            <w:vAlign w:val="center"/>
          </w:tcPr>
          <w:p w:rsidR="00A04F78" w:rsidRDefault="00A04F78" w:rsidP="002515A5">
            <w:pPr>
              <w:jc w:val="center"/>
            </w:pPr>
            <w:r w:rsidRPr="000274F2">
              <w:t>кВт</w:t>
            </w:r>
            <w:r>
              <w:rPr>
                <w:color w:val="545454"/>
                <w:shd w:val="clear" w:color="auto" w:fill="FFFFFF"/>
              </w:rPr>
              <w:t>·</w:t>
            </w:r>
            <w:r>
              <w:t>ч</w:t>
            </w:r>
          </w:p>
          <w:p w:rsidR="00A04F78" w:rsidRPr="00E1513D" w:rsidRDefault="00A04F78" w:rsidP="002515A5">
            <w:pPr>
              <w:jc w:val="center"/>
            </w:pPr>
            <w:r>
              <w:t>/год</w:t>
            </w:r>
          </w:p>
        </w:tc>
        <w:tc>
          <w:tcPr>
            <w:tcW w:w="1559" w:type="dxa"/>
            <w:vAlign w:val="center"/>
          </w:tcPr>
          <w:p w:rsidR="00A04F78" w:rsidRDefault="00A04F78" w:rsidP="002515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04F78" w:rsidRDefault="00A04F78" w:rsidP="002515A5">
            <w:pPr>
              <w:jc w:val="center"/>
            </w:pPr>
            <w:r>
              <w:t>45668,8</w:t>
            </w:r>
          </w:p>
        </w:tc>
      </w:tr>
    </w:tbl>
    <w:p w:rsidR="00A04F78" w:rsidRDefault="00A04F78" w:rsidP="00BA771B">
      <w:pPr>
        <w:jc w:val="both"/>
        <w:rPr>
          <w:b/>
        </w:rPr>
      </w:pPr>
    </w:p>
    <w:p w:rsidR="00465822" w:rsidRDefault="00DE6038" w:rsidP="00BA771B">
      <w:r>
        <w:rPr>
          <w:noProof/>
        </w:rPr>
        <w:drawing>
          <wp:inline distT="0" distB="0" distL="0" distR="0">
            <wp:extent cx="2933034" cy="2200275"/>
            <wp:effectExtent l="19050" t="0" r="666" b="0"/>
            <wp:docPr id="4" name="Рисунок 0" descr="DSCN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199" cy="22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5731" cy="2209800"/>
            <wp:effectExtent l="19050" t="0" r="7019" b="0"/>
            <wp:docPr id="5" name="Рисунок 4" descr="DSCN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900" cy="221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22" w:rsidRDefault="00DE6038" w:rsidP="00DE6038">
      <w:r>
        <w:t>1. ГВС                                                                   2. Теплоснабжение</w:t>
      </w:r>
    </w:p>
    <w:p w:rsidR="00DE6038" w:rsidRDefault="00DE6038" w:rsidP="00DE6038">
      <w:r>
        <w:rPr>
          <w:noProof/>
        </w:rPr>
        <w:drawing>
          <wp:inline distT="0" distB="0" distL="0" distR="0">
            <wp:extent cx="2933035" cy="2200275"/>
            <wp:effectExtent l="19050" t="0" r="665" b="0"/>
            <wp:docPr id="6" name="Рисунок 5" descr="DSCN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534" cy="2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5732" cy="2209800"/>
            <wp:effectExtent l="19050" t="0" r="7018" b="0"/>
            <wp:docPr id="7" name="Рисунок 6" descr="DSCN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233" cy="221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822" w:rsidRDefault="00465822" w:rsidP="00BA771B"/>
    <w:p w:rsidR="00465822" w:rsidRDefault="00DE6038" w:rsidP="00BA771B">
      <w:r>
        <w:t>3. Солнечная электростанция                            4. Солнечные коллектора ГВС</w:t>
      </w:r>
    </w:p>
    <w:p w:rsidR="00DE6038" w:rsidRDefault="00DE6038" w:rsidP="00BA771B">
      <w:r>
        <w:rPr>
          <w:noProof/>
        </w:rPr>
        <w:drawing>
          <wp:inline distT="0" distB="0" distL="0" distR="0">
            <wp:extent cx="2867025" cy="1929534"/>
            <wp:effectExtent l="19050" t="0" r="0" b="0"/>
            <wp:docPr id="8" name="Рисунок 7" descr="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375" cy="19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C21">
        <w:rPr>
          <w:noProof/>
        </w:rPr>
        <w:drawing>
          <wp:inline distT="0" distB="0" distL="0" distR="0">
            <wp:extent cx="2865914" cy="1971675"/>
            <wp:effectExtent l="19050" t="0" r="0" b="0"/>
            <wp:docPr id="9" name="Рисунок 8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59" cy="197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21" w:rsidRDefault="002E4C21" w:rsidP="00BA771B"/>
    <w:p w:rsidR="00465822" w:rsidRDefault="002E4C21" w:rsidP="00BA771B">
      <w:r>
        <w:t xml:space="preserve">5. Комиссия на сдаче дома </w:t>
      </w:r>
    </w:p>
    <w:p w:rsidR="002E4C21" w:rsidRDefault="002E4C21" w:rsidP="00BA771B">
      <w:r w:rsidRPr="002E4C21">
        <w:rPr>
          <w:bCs/>
          <w:shd w:val="clear" w:color="auto" w:fill="FFFFFF"/>
        </w:rPr>
        <w:t xml:space="preserve">Его́р Афана́сьевич Бори́сов </w:t>
      </w:r>
      <w:r w:rsidRPr="002E4C21">
        <w:rPr>
          <w:rStyle w:val="apple-converted-space"/>
          <w:shd w:val="clear" w:color="auto" w:fill="FFFFFF"/>
        </w:rPr>
        <w:t> </w:t>
      </w:r>
      <w:hyperlink r:id="rId13" w:tooltip="Президент Республики Саха (Якутия)" w:history="1">
        <w:r w:rsidRPr="002E4C21">
          <w:rPr>
            <w:rStyle w:val="a5"/>
            <w:color w:val="auto"/>
            <w:u w:val="none"/>
            <w:shd w:val="clear" w:color="auto" w:fill="FFFFFF"/>
          </w:rPr>
          <w:t>Президент Республики Саха</w:t>
        </w:r>
      </w:hyperlink>
      <w:r w:rsidRPr="002E4C21">
        <w:t xml:space="preserve"> Якутия</w:t>
      </w:r>
    </w:p>
    <w:p w:rsidR="00BE4BD2" w:rsidRPr="00BA771B" w:rsidRDefault="009F3DD9" w:rsidP="00FC50DF">
      <w:pPr>
        <w:pStyle w:val="3"/>
        <w:shd w:val="clear" w:color="auto" w:fill="FFFFFF"/>
        <w:spacing w:before="0" w:beforeAutospacing="0" w:after="0" w:afterAutospacing="0"/>
      </w:pPr>
      <w:hyperlink r:id="rId14" w:tgtFrame="_blank" w:history="1">
        <w:r w:rsidR="002E4C21" w:rsidRPr="002E4C21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Цицин Константин Георгиевич</w:t>
        </w:r>
      </w:hyperlink>
      <w:r w:rsidR="002E4C21" w:rsidRPr="002E4C21">
        <w:rPr>
          <w:b w:val="0"/>
          <w:bCs w:val="0"/>
          <w:sz w:val="24"/>
          <w:szCs w:val="24"/>
        </w:rPr>
        <w:t xml:space="preserve"> </w:t>
      </w:r>
      <w:r w:rsidR="002E4C21" w:rsidRPr="002E4C21">
        <w:rPr>
          <w:rStyle w:val="a8"/>
          <w:b w:val="0"/>
          <w:bCs w:val="0"/>
          <w:i w:val="0"/>
          <w:iCs w:val="0"/>
          <w:sz w:val="24"/>
          <w:szCs w:val="24"/>
          <w:shd w:val="clear" w:color="auto" w:fill="FFFFFF"/>
        </w:rPr>
        <w:t>генеральный директор Фонда</w:t>
      </w:r>
      <w:r w:rsidR="002E4C21" w:rsidRPr="002E4C21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="002A7983">
        <w:rPr>
          <w:b w:val="0"/>
          <w:sz w:val="24"/>
          <w:szCs w:val="24"/>
          <w:shd w:val="clear" w:color="auto" w:fill="FFFFFF"/>
        </w:rPr>
        <w:t xml:space="preserve">содействия </w:t>
      </w:r>
      <w:r w:rsidR="002E4C21" w:rsidRPr="002E4C21">
        <w:rPr>
          <w:b w:val="0"/>
          <w:sz w:val="24"/>
          <w:szCs w:val="24"/>
          <w:shd w:val="clear" w:color="auto" w:fill="FFFFFF"/>
        </w:rPr>
        <w:t>реформированию</w:t>
      </w:r>
      <w:r w:rsidR="002E4C21">
        <w:rPr>
          <w:b w:val="0"/>
          <w:sz w:val="24"/>
          <w:szCs w:val="24"/>
          <w:shd w:val="clear" w:color="auto" w:fill="FFFFFF"/>
        </w:rPr>
        <w:t xml:space="preserve"> </w:t>
      </w:r>
      <w:r w:rsidR="002E4C21" w:rsidRPr="002E4C21">
        <w:rPr>
          <w:rStyle w:val="a8"/>
          <w:b w:val="0"/>
          <w:bCs w:val="0"/>
          <w:i w:val="0"/>
          <w:iCs w:val="0"/>
          <w:sz w:val="24"/>
          <w:szCs w:val="24"/>
          <w:shd w:val="clear" w:color="auto" w:fill="FFFFFF"/>
        </w:rPr>
        <w:t>ЖКХ</w:t>
      </w:r>
      <w:r w:rsidR="002E4C21" w:rsidRPr="002E4C21">
        <w:rPr>
          <w:b w:val="0"/>
          <w:sz w:val="24"/>
          <w:szCs w:val="24"/>
          <w:shd w:val="clear" w:color="auto" w:fill="FFFFFF"/>
        </w:rPr>
        <w:t>.</w:t>
      </w:r>
      <w:r w:rsidR="00C36FF9">
        <w:t xml:space="preserve"> </w:t>
      </w:r>
    </w:p>
    <w:sectPr w:rsidR="00BE4BD2" w:rsidRPr="00BA771B" w:rsidSect="00A04F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C0" w:rsidRDefault="00764AC0" w:rsidP="00A04F78">
      <w:r>
        <w:separator/>
      </w:r>
    </w:p>
  </w:endnote>
  <w:endnote w:type="continuationSeparator" w:id="1">
    <w:p w:rsidR="00764AC0" w:rsidRDefault="00764AC0" w:rsidP="00A0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C0" w:rsidRDefault="00764AC0" w:rsidP="00A04F78">
      <w:r>
        <w:separator/>
      </w:r>
    </w:p>
  </w:footnote>
  <w:footnote w:type="continuationSeparator" w:id="1">
    <w:p w:rsidR="00764AC0" w:rsidRDefault="00764AC0" w:rsidP="00A0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CF0"/>
    <w:multiLevelType w:val="hybridMultilevel"/>
    <w:tmpl w:val="D32CD29C"/>
    <w:lvl w:ilvl="0" w:tplc="5CD23B9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C33FF"/>
    <w:multiLevelType w:val="hybridMultilevel"/>
    <w:tmpl w:val="E968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035"/>
    <w:multiLevelType w:val="hybridMultilevel"/>
    <w:tmpl w:val="454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01C4"/>
    <w:multiLevelType w:val="hybridMultilevel"/>
    <w:tmpl w:val="FBB4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07DB"/>
    <w:multiLevelType w:val="hybridMultilevel"/>
    <w:tmpl w:val="1084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6">
    <w:nsid w:val="502A2917"/>
    <w:multiLevelType w:val="hybridMultilevel"/>
    <w:tmpl w:val="377A9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7E4A"/>
    <w:multiLevelType w:val="hybridMultilevel"/>
    <w:tmpl w:val="1D246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A118A"/>
    <w:multiLevelType w:val="hybridMultilevel"/>
    <w:tmpl w:val="4F664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8223239"/>
    <w:multiLevelType w:val="hybridMultilevel"/>
    <w:tmpl w:val="013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4C5F"/>
    <w:multiLevelType w:val="hybridMultilevel"/>
    <w:tmpl w:val="37F2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C1C05"/>
    <w:multiLevelType w:val="hybridMultilevel"/>
    <w:tmpl w:val="C3703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268C2"/>
    <w:multiLevelType w:val="hybridMultilevel"/>
    <w:tmpl w:val="72965B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BD2"/>
    <w:rsid w:val="000324F8"/>
    <w:rsid w:val="000C5E15"/>
    <w:rsid w:val="00113A93"/>
    <w:rsid w:val="00113CA3"/>
    <w:rsid w:val="00132282"/>
    <w:rsid w:val="00180974"/>
    <w:rsid w:val="001D5F7E"/>
    <w:rsid w:val="001F1611"/>
    <w:rsid w:val="002A7983"/>
    <w:rsid w:val="002C274D"/>
    <w:rsid w:val="002C3FF7"/>
    <w:rsid w:val="002E4C21"/>
    <w:rsid w:val="002E70E6"/>
    <w:rsid w:val="0032089D"/>
    <w:rsid w:val="003C69EE"/>
    <w:rsid w:val="003D3E41"/>
    <w:rsid w:val="00465822"/>
    <w:rsid w:val="00472B86"/>
    <w:rsid w:val="004D00DA"/>
    <w:rsid w:val="00504626"/>
    <w:rsid w:val="005215B8"/>
    <w:rsid w:val="00527228"/>
    <w:rsid w:val="005D1D83"/>
    <w:rsid w:val="00667182"/>
    <w:rsid w:val="006B2A81"/>
    <w:rsid w:val="007156C1"/>
    <w:rsid w:val="00751714"/>
    <w:rsid w:val="00764AC0"/>
    <w:rsid w:val="007C4A29"/>
    <w:rsid w:val="00805C5D"/>
    <w:rsid w:val="00835CCB"/>
    <w:rsid w:val="009111D9"/>
    <w:rsid w:val="009910A2"/>
    <w:rsid w:val="009A0242"/>
    <w:rsid w:val="009E0333"/>
    <w:rsid w:val="009F3DD9"/>
    <w:rsid w:val="00A04F78"/>
    <w:rsid w:val="00A637C1"/>
    <w:rsid w:val="00A82D24"/>
    <w:rsid w:val="00BA771B"/>
    <w:rsid w:val="00BC5F3C"/>
    <w:rsid w:val="00BE4BD2"/>
    <w:rsid w:val="00BF5D90"/>
    <w:rsid w:val="00C36FF9"/>
    <w:rsid w:val="00C43927"/>
    <w:rsid w:val="00C656A6"/>
    <w:rsid w:val="00D44B8B"/>
    <w:rsid w:val="00D74CEB"/>
    <w:rsid w:val="00DB748F"/>
    <w:rsid w:val="00DE5D1F"/>
    <w:rsid w:val="00DE6038"/>
    <w:rsid w:val="00E30E99"/>
    <w:rsid w:val="00E45C03"/>
    <w:rsid w:val="00E669A6"/>
    <w:rsid w:val="00EB24DB"/>
    <w:rsid w:val="00FC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E4C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E4BD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C69E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2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08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5">
    <w:name w:val="Font Style35"/>
    <w:uiPriority w:val="99"/>
    <w:rsid w:val="00D44B8B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4B8B"/>
    <w:pPr>
      <w:widowControl w:val="0"/>
      <w:autoSpaceDE w:val="0"/>
      <w:autoSpaceDN w:val="0"/>
      <w:adjustRightInd w:val="0"/>
      <w:spacing w:line="293" w:lineRule="exact"/>
    </w:pPr>
  </w:style>
  <w:style w:type="paragraph" w:styleId="a6">
    <w:name w:val="Balloon Text"/>
    <w:basedOn w:val="a"/>
    <w:link w:val="a7"/>
    <w:uiPriority w:val="99"/>
    <w:semiHidden/>
    <w:unhideWhenUsed/>
    <w:rsid w:val="00DE6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0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4C21"/>
  </w:style>
  <w:style w:type="character" w:customStyle="1" w:styleId="30">
    <w:name w:val="Заголовок 3 Знак"/>
    <w:basedOn w:val="a0"/>
    <w:link w:val="3"/>
    <w:uiPriority w:val="9"/>
    <w:rsid w:val="002E4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2E4C21"/>
    <w:rPr>
      <w:i/>
      <w:iCs/>
    </w:rPr>
  </w:style>
  <w:style w:type="table" w:styleId="a9">
    <w:name w:val="Table Grid"/>
    <w:basedOn w:val="a1"/>
    <w:uiPriority w:val="39"/>
    <w:rsid w:val="002A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04F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4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4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1%80%D0%B5%D0%B7%D0%B8%D0%B4%D0%B5%D0%BD%D1%82_%D0%A0%D0%B5%D1%81%D0%BF%D1%83%D0%B1%D0%BB%D0%B8%D0%BA%D0%B8_%D0%A1%D0%B0%D1%85%D0%B0_(%D0%AF%D0%BA%D1%83%D1%82%D0%B8%D1%8F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ndgkh.ru/about/head/observ/204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12</cp:revision>
  <dcterms:created xsi:type="dcterms:W3CDTF">2014-10-23T05:35:00Z</dcterms:created>
  <dcterms:modified xsi:type="dcterms:W3CDTF">2015-10-29T06:53:00Z</dcterms:modified>
</cp:coreProperties>
</file>